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  <w:jc w:val="left"/>
      </w:pPr>
      <w:r>
        <w:rPr>
          <w:rFonts w:ascii="Times New Roman" w:hAnsi="Times New Roman" w:eastAsia="黑体"/>
          <w:b/>
          <w:sz w:val="22"/>
        </w:rPr>
        <w:t>附件 2</w:t>
      </w:r>
    </w:p>
    <w:p>
      <w:pPr>
        <w:spacing w:before="120" w:after="240" w:line="360" w:lineRule="auto"/>
        <w:jc w:val="center"/>
      </w:pPr>
      <w:r>
        <w:rPr>
          <w:rFonts w:ascii="Times New Roman" w:hAnsi="Times New Roman" w:eastAsia="黑体"/>
          <w:b/>
          <w:sz w:val="36"/>
        </w:rPr>
        <w:t>大赛项目申报表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2381"/>
        <w:gridCol w:w="6803"/>
      </w:tblGrid>
      <w:tr>
        <w:tc>
          <w:tcPr>
            <w:tcW w:type="dxa" w:w="238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项目名称</w:t>
            </w:r>
          </w:p>
        </w:tc>
        <w:tc>
          <w:tcPr>
            <w:tcW w:type="dxa" w:w="6803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文枢——集团 AI 传播力中枢平台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参赛赛道</w:t>
            </w:r>
          </w:p>
        </w:tc>
        <w:tc>
          <w:tcPr>
            <w:tcW w:type="dxa" w:w="6803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□ A 赛道 AIGC 创意内容作品　　☑ B 赛道 AI 技术融合创新应用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参赛形式</w:t>
            </w:r>
          </w:p>
        </w:tc>
        <w:tc>
          <w:tcPr>
            <w:tcW w:type="dxa" w:w="6803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□ 个人参赛（1 人）　　□ 单位集体组队（仅 A 赛道）　　☑ 团队参赛（2—5 人）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项目牵头人（组长）</w:t>
            </w:r>
          </w:p>
        </w:tc>
        <w:tc>
          <w:tcPr>
            <w:tcW w:type="dxa" w:w="6803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姓名：【待填】　　工作单位及职务：【待填】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团队成员（不超过 4 人，牵头人不用重复填写）</w:t>
            </w:r>
          </w:p>
        </w:tc>
        <w:tc>
          <w:tcPr>
            <w:tcW w:type="dxa" w:w="6803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　姓名：【待填】　　单位及职务：【待填】</w:t>
              <w:br/>
              <w:t>2　姓名：【待填】　　单位及职务：【待填】</w:t>
              <w:br/>
              <w:t>3　姓名：【待填】　　单位及职务：【待填】</w:t>
              <w:br/>
              <w:t>4　姓名：【待填】　　单位及职务：【待填】</w:t>
            </w:r>
          </w:p>
        </w:tc>
      </w:tr>
      <w:tr>
        <w:trPr>
          <w:trHeight w:val="5102"/>
        </w:trPr>
        <w:tc>
          <w:tcPr>
            <w:tcW w:type="dxa" w:w="238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项目简介</w:t>
              <w:br/>
              <w:t>（500 字以内）</w:t>
            </w:r>
          </w:p>
        </w:tc>
        <w:tc>
          <w:tcPr>
            <w:tcW w:type="dxa" w:w="6803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本项目为集团级 AI 传播力中枢平台“文枢”，定位集团级传播力基础设施，一期落地阅读推广。集团年出版 8047 种、364 个网点覆盖全省、员工近万人，组织力全国领先；但传播仍是账号级——协同账号 230 个虽多于行业标杆的 169 个，年曝光却相差悬殊（标杆 2.05 亿人次，我方单次峰值 96.47 万）。账号的加法做了，内容的乘法没做。平台以“事实层—表达层—校验层”三明治架构破解：事实层为结构化书目数据，对模型只读；表达层大模型仅组织文字，无权生成新事实；校验层以确定性代码执行四道合规硬门禁（禁用语预检、事实一致性、差异化度阈值 0.6、AIGC 法定标识），全程留痕可审计。</w:t>
              <w:br/>
              <w:t>AI 应用方式：集团出母版，系统按地域、平台、角度、人设、体裁五维派号（4×4×6×5×5＝2400 种组合，对约 300 个账号位冗余 8 倍），以境内合规大模型承担文字组织，配合确定性代码完成事实锁定与合规校验，把内容能力从“依附个人”转为“组织产能”。分发确立两条通道：机构账号按排期领取（职务行为），个人账号只上架不派发、自愿取用，不排名、不考核。</w:t>
              <w:br/>
              <w:t>预期成效：图文产能 100 条以上/周、数字人口播 40—60 条/周；成效按产能/质量/影响/效益四维口径分离计量，沉淀“内容×属地×人群”归因资产，反哺选题、印数、定价与投放。三期路线：管得住（2026）→卖得动（2027）→立得住（2028，行业标准）。（详见附件 3 项目说明书）</w:t>
            </w:r>
          </w:p>
        </w:tc>
      </w:tr>
      <w:tr>
        <w:trPr>
          <w:trHeight w:val="2268"/>
        </w:trPr>
        <w:tc>
          <w:tcPr>
            <w:tcW w:type="dxa" w:w="238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申报单位初审意见</w:t>
            </w:r>
          </w:p>
        </w:tc>
        <w:tc>
          <w:tcPr>
            <w:tcW w:type="dxa" w:w="6803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本单位已完成对本项目意识形态、版权原创性、合规性审核，同意推荐参赛。</w:t>
              <w:br/>
              <w:br/>
              <w:br/>
              <w:t xml:space="preserve">　　　　　　　　　　　　　　　　负责人签字：</w:t>
              <w:br/>
              <w:t xml:space="preserve">　　　　　　　　　　　　　　　　（单位公章）</w:t>
              <w:br/>
              <w:t xml:space="preserve">　　　　　　　　　　　　　　　　　　　年　　月　　日</w:t>
            </w:r>
          </w:p>
        </w:tc>
      </w:tr>
    </w:tbl>
    <w:sectPr w:rsidR="00FC693F" w:rsidRPr="0006063C" w:rsidSect="00034616">
      <w:pgSz w:w="12240" w:h="15840"/>
      <w:pgMar w:top="1247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