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Times New Roman" w:hAnsi="Times New Roman" w:eastAsia="黑体"/>
          <w:b/>
          <w:sz w:val="22"/>
        </w:rPr>
        <w:t>附件 3</w:t>
      </w:r>
    </w:p>
    <w:p>
      <w:pPr>
        <w:spacing w:before="80" w:after="200" w:line="360" w:lineRule="auto"/>
        <w:jc w:val="center"/>
      </w:pPr>
      <w:r>
        <w:rPr>
          <w:rFonts w:ascii="Times New Roman" w:hAnsi="Times New Roman" w:eastAsia="黑体"/>
          <w:b/>
          <w:sz w:val="36"/>
        </w:rPr>
        <w:t>B 赛道参赛项目说明书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4646"/>
        <w:gridCol w:w="4646"/>
      </w:tblGrid>
      <w:tr>
        <w:tc>
          <w:tcPr>
            <w:tcW w:type="dxa" w:w="204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项目名称</w:t>
            </w:r>
          </w:p>
        </w:tc>
        <w:tc>
          <w:tcPr>
            <w:tcW w:type="dxa" w:w="714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文枢——集团 AI 传播力中枢平台</w:t>
            </w:r>
          </w:p>
        </w:tc>
      </w:tr>
      <w:tr>
        <w:tc>
          <w:tcPr>
            <w:tcW w:type="dxa" w:w="204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牵头单位／团队</w:t>
            </w:r>
          </w:p>
        </w:tc>
        <w:tc>
          <w:tcPr>
            <w:tcW w:type="dxa" w:w="714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广东新华发行集团</w:t>
            </w:r>
          </w:p>
        </w:tc>
      </w:tr>
      <w:tr>
        <w:tc>
          <w:tcPr>
            <w:tcW w:type="dxa" w:w="204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牵头人</w:t>
            </w:r>
          </w:p>
        </w:tc>
        <w:tc>
          <w:tcPr>
            <w:tcW w:type="dxa" w:w="714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【待填】</w:t>
            </w:r>
          </w:p>
        </w:tc>
      </w:tr>
      <w:tr>
        <w:tc>
          <w:tcPr>
            <w:tcW w:type="dxa" w:w="2041"/>
            <w:vAlign w:val="center"/>
          </w:tcPr>
          <w:p>
            <w:pPr>
              <w:spacing w:line="300" w:lineRule="auto"/>
              <w:jc w:val="center"/>
            </w:pPr>
            <w:r/>
            <w:r>
              <w:rPr>
                <w:rFonts w:ascii="Times New Roman" w:hAnsi="Times New Roman" w:eastAsia="黑体"/>
                <w:b/>
                <w:sz w:val="21"/>
              </w:rPr>
              <w:t>参赛赛道</w:t>
            </w:r>
          </w:p>
        </w:tc>
        <w:tc>
          <w:tcPr>
            <w:tcW w:type="dxa" w:w="7143"/>
            <w:vAlign w:val="center"/>
          </w:tcPr>
          <w:p>
            <w:pPr>
              <w:spacing w:line="300" w:lineRule="auto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 赛道：AI 技术融合创新应用</w:t>
            </w:r>
          </w:p>
        </w:tc>
      </w:tr>
    </w:tbl>
    <w:p>
      <w:pPr>
        <w:spacing w:line="360" w:lineRule="auto"/>
      </w:pPr>
      <w:r>
        <w:rPr>
          <w:rFonts w:ascii="Times New Roman" w:hAnsi="Times New Roman" w:eastAsia="宋体"/>
          <w:b w:val="0"/>
          <w:sz w:val="12"/>
        </w:rPr>
      </w:r>
    </w:p>
    <w:p>
      <w:pPr>
        <w:spacing w:before="200" w:after="80" w:line="360" w:lineRule="auto"/>
      </w:pPr>
      <w:r>
        <w:rPr>
          <w:rFonts w:ascii="Times New Roman" w:hAnsi="Times New Roman" w:eastAsia="黑体"/>
          <w:b/>
          <w:color w:val="8C2B21"/>
          <w:sz w:val="26"/>
        </w:rPr>
        <w:t>一、项目背景及业务痛点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卖书一半靠内容力，一半靠传播力。内容力是「书找人」（推式），行业已有成熟平台覆盖；传播力是「人找书」（拉式），让内容被组织化分发、看见、转化，这一侧至今没有组织化答案，正是本项目切入的那一半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集团资质、产品、平台均为全国级：多次入选全国文化企业 30 强，16 个科目粤版国标教材覆盖全国，南国书香节为全球最大华文书展之一；年出版 8047 种、364 个网点覆盖全省、法人企业 300 余家、员工近万人，年年承担全国最大规模统一分发（教材 4.15 亿册、送往 1.7 万所学校）。此组织力用于内容分发是「降维」——难度是下沉而非从零新建。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但集团传播仍是账号级：协同账号 230 个，多于行业标杆省份的 169 个，曝光却悬殊——标杆省份年曝光 2.05 亿人次，我方单次峰值仅 96.47 万。账号的加法做了，内容的乘法没做，变量只剩内容。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业务堵点三处：一是内容电商占比已达 42.93%，万余家门店、近 10 万发行人员被推入直播短视频，普遍「有账号、无产能」；二是现有「统一主题＋标准素材包」机制缺 AI 产能层，素材千篇一律，同质化风险随账号增加放大；三是通用 AI 工具会编造事实、放大同质化、不担发布把关责任。出版国企场景下「能保证不出事」比「能写得更好」更重要。本项目定位集团级 AI 传播力基础设施。</w:t>
      </w:r>
    </w:p>
    <w:p>
      <w:pPr>
        <w:spacing w:before="200" w:after="80" w:line="360" w:lineRule="auto"/>
      </w:pPr>
      <w:r>
        <w:rPr>
          <w:rFonts w:ascii="Times New Roman" w:hAnsi="Times New Roman" w:eastAsia="黑体"/>
          <w:b/>
          <w:color w:val="8C2B21"/>
          <w:sz w:val="26"/>
        </w:rPr>
        <w:t>二、项目实施路径与主要做法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一）技术方案：「三明治」分层架构。事实层为结构化书目数据，对模型只读，不可写入、不可生成新事实；表达层大模型仅负责文字组织，无事实生成权；校验层以确定性代码执行四道硬门禁，不依赖模型判断，可审计、可复现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（二）工作流程：集团出母版（选题、书目、口径统一制定）→ 五维派号（地域×平台×角度×人设×体裁，4×4×6×5×5＝2400 种组合，对约 300 个账号位冗余 8 倍）→ 各主体获差异化版本 → 四道门禁校验 → 发布 → 数据回流归因看板，反哺选题、印数、定价与投放。即「门内统一事实，门外一千种表达」。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三）分发机制两条通道。机构账号轨（出版社官号、门店号）按排期领取，属职务行为，数据只计机构汇总；个人账号轨只上架不派发，自愿取用，不排名、不通报、不进考核。已放行内容以「内容货架」按属地与平台陈列，各层级登录自取；所管账号登记上传、明确责任人，中枢仅掌握底数与处置能力，不代发不代运营。制度红线：凡「给东西」的（工具、素材、流量、荣誉）可统筹；凡「要东西」的（转发、点赞、打卡、排名、考核发布量）一律禁止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（四）实施节奏与原型建设：分三步——试点 1 本书×3 类属地×2 个平台跑通闭环，图文为主（100+ 条/周）、混剪与数字人口播（40—60 条/周）补充；推广由成员企业自愿认领母版与流量配额，两级看板呈现成效；常态化纳入集团管理体系。网点动力来自登录即有现成属地化内容、认领即配流量扶持、优质内容获荣誉与培训资源。演示原型已完成全部功能验证——书目事实库（15 种在售书目示例）、五维派号生成、重复组合拦截、篡改书名／定价／加禁用语当场阻断并归因到门禁、内容货架领取与回填、账号集中登记、归因看板、审计日志持久化。</w:t>
      </w:r>
    </w:p>
    <w:p>
      <w:pPr>
        <w:spacing w:before="200" w:after="80" w:line="360" w:lineRule="auto"/>
      </w:pPr>
      <w:r>
        <w:rPr>
          <w:rFonts w:ascii="Times New Roman" w:hAnsi="Times New Roman" w:eastAsia="黑体"/>
          <w:b/>
          <w:color w:val="8C2B21"/>
          <w:sz w:val="26"/>
        </w:rPr>
        <w:t>三、项目创新点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（一）事实锁定：书名、作者、定价只能从书目库取值，模型无生成权。反面案例：2025 年 5 月《芝加哥太阳报》夏季书单 15 本推荐中仅 5 本真实存在，专业编辑流程也未拦住。这不是让 AI 少犯错，而是让错误无发生通道。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（二）组合差异化：用数学而非人工保证不撞车。2400 种组合对约 300 个账号位冗余 8 倍，一次去重派号即保证任意两号不重复；人工达同等产能（600 条/周）需 10—15 人全职，且无法保证不雷同。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（三）四道合规硬门禁，是闸门不是提示，全程留痕：①禁用语预检——《广告法》红线词自动标红，视频场景 OCR 查画面、ASR 查口播；②事实一致性——书名、定价逐项与书目库比对，不一致不出稿；③差异化度——与库内内容相似度低于阈值 0.6 方可放行；④AIGC 法定标识——按《人工智能生成合成内容标识办法》（2025 年 9 月 1 日施行）自动注入显式＋隐式标识，无去标识开关。通用工具把标识义务留给使用方自担风险，中枢内置双标识等于替集团接住法定责任。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（四）护城河三条（通用工具一件都不管）：①出版业事实内核——无书目库，会编错书名定价；②出版业特有合规——导向三审三校＋《广告法》＋AIGC 法定标识，这是出版单位法定义务；③属地化差异化产能——通用工具「素材统一取用」恰会放大同质化。最强替代品是新榜「矩阵通」（服务 3000+ 企业），但其逻辑同样放大同质化；卖的不是账号管理，而是事实锁定、组合差异化、四道门禁与归因闭环。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五）双引擎与归因闭环。渠道统管是入口与管道：账号统一纳管、统一事实口径，一次调度全省同频；数据飞轮是资产与复利：沉淀「内容×属地×人群」归因数据。成效按四维指标分离计量——产能（条数）／质量（差异化度、合规通过率）／影响（曝光、转载、主流采纳）／效益（转化、客流），不互相折算。归因看板只呈现机构汇总、不做个人排名，排除考核摊派。</w:t>
      </w:r>
    </w:p>
    <w:p>
      <w:pPr>
        <w:spacing w:before="200" w:after="80" w:line="360" w:lineRule="auto"/>
      </w:pPr>
      <w:r>
        <w:rPr>
          <w:rFonts w:ascii="Times New Roman" w:hAnsi="Times New Roman" w:eastAsia="黑体"/>
          <w:b/>
          <w:color w:val="8C2B21"/>
          <w:sz w:val="26"/>
        </w:rPr>
        <w:t>四、落地成效与应用价值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（一）已取得效果：演示原型已完成全部功能开发与验证，四道门禁均当场阻断并精准归因（事实一致性／定价／禁用语／差异化度／AIGC 标识），审计日志完整留痕、本地持久化、可导出。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（二）预期成效与数据口径：按约 300 个账号位测算，图文每周 100 条以上、数字人口播 40—60 条；成效按影响与效益双口径计量——影响侧看曝光、转载与主流采纳，效益侧看转化与到店客流。应用价值三点：组织上把内容能力从「依附个人」转为「组织产能」；合规上把《广告法》预检、导向三审与 AIGC 法定标识内建为发布前闸门；资产上把手里的账号变为可管理、可计量、可复用的组织资产，传播数据沉淀为「内容×属地×人群」归因资产。成效符合幂律分布，一律「按 X 个账号测算」，不承诺绝对值。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三）三期路线与推广价值：一期「管得住」（2026，组织产能，落地阅读推广）；二期「卖得动」（2027，传播资产，扩展智能备课与阅读伴学、版权与国际传播、南国书香节全省联动）；三期「立得住」（2028，行业标准，借学习强国／央媒通道做成全国性文化事件）。由全国新闻出版标准化技术委员会（SAC/TC 527）归口、国家新闻出版署批准立项的《出版业人工智能应用安全要求》行业标准已发布阶段性成果</w:t>
      </w:r>
      <w:r>
        <w:rPr>
          <w:rFonts w:ascii="Times New Roman" w:hAnsi="Times New Roman" w:eastAsia="宋体"/>
          <w:b w:val="0"/>
          <w:color w:val="B03A2E"/>
          <w:sz w:val="22"/>
          <w:vertAlign w:val="superscript"/>
        </w:rPr>
        <w:t>[1]</w:t>
      </w:r>
      <w:r>
        <w:rPr>
          <w:rFonts w:ascii="Times New Roman" w:hAnsi="Times New Roman" w:eastAsia="宋体"/>
          <w:b w:val="0"/>
          <w:sz w:val="22"/>
        </w:rPr>
        <w:t>，本项目合规设计与其方向一致。同类痛点为全国 30 余家省级出版发行集团共有，且 2026 年度出版业智能体大赛已单设「出版营销传播智能体」赛道，具备横向复制条件。</w:t>
      </w:r>
    </w:p>
    <w:p>
      <w:pPr>
        <w:spacing w:before="200" w:after="80" w:line="360" w:lineRule="auto"/>
      </w:pPr>
      <w:r>
        <w:rPr>
          <w:rFonts w:ascii="Times New Roman" w:hAnsi="Times New Roman" w:eastAsia="黑体"/>
          <w:b/>
          <w:color w:val="8C2B21"/>
          <w:sz w:val="26"/>
        </w:rPr>
        <w:t>五、风险防控方案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（一）意识形态风险：AI 生成内容全部经人工审核、编辑和标识后发布；严格落实导向三审三校，留存提示词与生成记录备查。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（二）数据安全风险：一期不涉境外平台与数据出境；书目库对模型只读；涉密书稿、未公开选题、内部数据与个人信息不进公共模型；支持私有化部署，审计日志全量留痕。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（三）版权风险：文稿、图片、音视频、IP 素材均须取得合法授权，使用集团出版内容、作者作品或品牌资产履行内部审批；对模型实施事实层只读约束，杜绝生成侵权。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（四）AI 生成内容风险：四道硬门禁前置到发布前，AIGC 法定标识由系统强制注入、无关闭开关；禁用语库随《广告法》及平台规则维护，差异化度门禁防同质化连坐。</w:t>
      </w:r>
    </w:p>
    <w:p>
      <w:pPr>
        <w:spacing w:line="360" w:lineRule="auto"/>
        <w:ind w:firstLine="420"/>
      </w:pPr>
      <w:r>
        <w:rPr>
          <w:rFonts w:ascii="Times New Roman" w:hAnsi="Times New Roman" w:eastAsia="宋体"/>
          <w:b w:val="0"/>
          <w:sz w:val="22"/>
        </w:rPr>
        <w:t>（五）组织与效果风险：以认领制替代摊派制，不考核发布量、不通报排名，账号准入退出管理，防「申请时热闹、申请后空置」；成效按账号规模测算，先跑通一本书再放量。本项目最大变量在组织意愿而非技术，对策是以「赋能＋留痕」换信任，以「给东西」换参与。</w:t>
      </w:r>
    </w:p>
    <w:p>
      <w:pPr>
        <w:spacing w:before="200" w:line="360" w:lineRule="auto"/>
      </w:pPr>
      <w:r>
        <w:rPr>
          <w:rFonts w:ascii="Times New Roman" w:hAnsi="Times New Roman" w:eastAsia="楷体"/>
          <w:b w:val="0"/>
          <w:color w:val="7A7264"/>
          <w:sz w:val="19"/>
        </w:rPr>
        <w:t>说明：全文控制在 3000 字以内，可附截图、录屏说明作为附录。</w:t>
      </w:r>
    </w:p>
    <w:p>
      <w:pPr>
        <w:spacing w:before="240" w:after="80" w:line="360" w:lineRule="auto"/>
      </w:pPr>
      <w:r>
        <w:rPr>
          <w:rFonts w:ascii="Times New Roman" w:hAnsi="Times New Roman" w:eastAsia="黑体"/>
          <w:b/>
          <w:sz w:val="22"/>
        </w:rPr>
        <w:t>参考来源</w:t>
      </w:r>
    </w:p>
    <w:p>
      <w:pPr>
        <w:spacing w:line="312" w:lineRule="auto"/>
      </w:pPr>
      <w:r>
        <w:rPr>
          <w:rFonts w:ascii="Times New Roman" w:hAnsi="Times New Roman" w:eastAsia="宋体"/>
          <w:b w:val="0"/>
          <w:color w:val="7A7264"/>
          <w:sz w:val="18"/>
        </w:rPr>
        <w:t>[1] 靳艺昕．《出版业人工智能应用安全要求》行业标准阶段性成果发布［N］．中国出版传媒商报，2026-08-28．https://www.cbbr.com.cn/contents/500/111647.html</w:t>
      </w:r>
    </w:p>
    <w:sectPr w:rsidR="00FC693F" w:rsidRPr="0006063C" w:rsidSect="00034616">
      <w:pgSz w:w="12240" w:h="15840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