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color w:val="8C2B21"/>
          <w:sz w:val="32"/>
        </w:rPr>
        <w:t>文枢 · 现场答辩问答手册</w:t>
      </w:r>
    </w:p>
    <w:p>
      <w:pPr>
        <w:jc w:val="center"/>
      </w:pPr>
      <w:r>
        <w:rPr>
          <w:rFonts w:ascii="Times New Roman" w:hAnsi="Times New Roman" w:eastAsia="楷体"/>
          <w:b w:val="0"/>
          <w:color w:val="7A7264"/>
          <w:sz w:val="18"/>
        </w:rPr>
        <w:t>配套项目：文枢——集团 AI 传播力中枢平台　｜　B 赛道·AI 技术融合创新应用　｜　用法：现场按分类快速检索，加粗处为必背要点</w:t>
      </w:r>
    </w:p>
    <w:p>
      <w:r>
        <w:rPr>
          <w:rFonts w:ascii="Times New Roman" w:hAnsi="Times New Roman" w:eastAsia="黑体"/>
          <w:b/>
          <w:color w:val="2C3E50"/>
          <w:sz w:val="25"/>
        </w:rPr>
        <w:t>A · 项目定位与一句话口径</w:t>
      </w:r>
    </w:p>
    <w:p>
      <w:r>
        <w:rPr>
          <w:rFonts w:ascii="Times New Roman" w:hAnsi="Times New Roman" w:eastAsia="黑体"/>
          <w:b/>
          <w:color w:val="8C2B21"/>
          <w:sz w:val="22"/>
        </w:rPr>
        <w:t>Q：用一句话说清这个项目是什么？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文枢是</w:t>
      </w:r>
      <w:r>
        <w:rPr>
          <w:rFonts w:ascii="Times New Roman" w:hAnsi="Times New Roman" w:eastAsia="宋体"/>
          <w:b/>
          <w:color w:val="1D2A38"/>
          <w:sz w:val="21"/>
        </w:rPr>
        <w:t>集团级 AI 传播力基础设施</w:t>
      </w:r>
      <w:r>
        <w:rPr>
          <w:rFonts w:ascii="Times New Roman" w:hAnsi="Times New Roman" w:eastAsia="宋体"/>
          <w:b w:val="0"/>
          <w:sz w:val="21"/>
        </w:rPr>
        <w:t>：把内容生产、分发治理、成效归因三件事合成一个中枢，让集团数百个组织主体在合规前提下持续产出互不相同的内容，并把成效报上去。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一期落地</w:t>
      </w:r>
      <w:r>
        <w:rPr>
          <w:rFonts w:ascii="Times New Roman" w:hAnsi="Times New Roman" w:eastAsia="宋体"/>
          <w:b/>
          <w:color w:val="1D2A38"/>
          <w:sz w:val="21"/>
        </w:rPr>
        <w:t>阅读推广</w:t>
      </w:r>
      <w:r>
        <w:rPr>
          <w:rFonts w:ascii="Times New Roman" w:hAnsi="Times New Roman" w:eastAsia="宋体"/>
          <w:b w:val="0"/>
          <w:sz w:val="21"/>
        </w:rPr>
        <w:t>场景，把“总部统一供料”升级为“统一内核＋AI 属地化重构”。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Q：这跟豆包、Kimi 这些通用工具的区别是什么？（必背）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豆包解决“写出一篇好文案”；文枢解决“让数百个组织主体在合规前提下持续产出互不相同的成果，并把成效报上去”。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前者是内容生成，后者是</w:t>
      </w:r>
      <w:r>
        <w:rPr>
          <w:rFonts w:ascii="Times New Roman" w:hAnsi="Times New Roman" w:eastAsia="宋体"/>
          <w:b/>
          <w:color w:val="1D2A38"/>
          <w:sz w:val="21"/>
        </w:rPr>
        <w:t>组织能力工程</w:t>
      </w:r>
      <w:r>
        <w:rPr>
          <w:rFonts w:ascii="Times New Roman" w:hAnsi="Times New Roman" w:eastAsia="宋体"/>
          <w:b w:val="0"/>
          <w:sz w:val="21"/>
        </w:rPr>
        <w:t>——这是本项目最核心的一句口径。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通用工具的三宗罪：① 会编造事实（见 A 类翻车案例）；② 会放大矩阵同质化；③ 不承担发布前的把关责任。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Q：为什么叫“文枢”？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枢，是门户的转轴——它不生产内容，但所有内容的流转都要经过它。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取义于南京夫子庙“天下文枢”坊，指文教中枢之意；“文”扣出版主业，“枢”同时含中枢与枢纽双重含义。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申报名为“集团 AI 传播力中枢平台”，“文枢”是产品简称，二者分离，不冲突。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Q：这不是一个荐书文案工具吗？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不是，且这是我们要主动划掉的第一个误读。</w:t>
      </w:r>
      <w:r>
        <w:rPr>
          <w:rFonts w:ascii="Times New Roman" w:hAnsi="Times New Roman" w:eastAsia="宋体"/>
          <w:b w:val="0"/>
          <w:sz w:val="21"/>
        </w:rPr>
        <w:t xml:space="preserve"> 文案生成是表层能力，完全可替代——评委掏出豆包就能复现，我们不把它当卖点。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我们卖的是：事实锁定、组合差异化、四道硬门禁、归因闭环。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Q：这是一套账号管理 SaaS 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不是。账号管理只是</w:t>
      </w:r>
      <w:r>
        <w:rPr>
          <w:rFonts w:ascii="Times New Roman" w:hAnsi="Times New Roman" w:eastAsia="宋体"/>
          <w:b/>
          <w:color w:val="1D2A38"/>
          <w:sz w:val="21"/>
        </w:rPr>
        <w:t>入口</w:t>
      </w:r>
      <w:r>
        <w:rPr>
          <w:rFonts w:ascii="Times New Roman" w:hAnsi="Times New Roman" w:eastAsia="宋体"/>
          <w:b w:val="0"/>
          <w:sz w:val="21"/>
        </w:rPr>
        <w:t>，市面已有成熟产品（新榜矩阵通），我们不作同等竞争。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我们的判断是：</w:t>
      </w:r>
      <w:r>
        <w:rPr>
          <w:rFonts w:ascii="Times New Roman" w:hAnsi="Times New Roman" w:eastAsia="宋体"/>
          <w:b/>
          <w:color w:val="1D2A38"/>
          <w:sz w:val="21"/>
        </w:rPr>
        <w:t>账号管理是入口，内容资产的数据化才是资产本身。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Q：是不是让员工转发、点赞、打卡的任务下派系统？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恰恰相反。我们明令禁止考核转发／点赞／发布量</w:t>
      </w:r>
      <w:r>
        <w:rPr>
          <w:rFonts w:ascii="Times New Roman" w:hAnsi="Times New Roman" w:eastAsia="宋体"/>
          <w:b w:val="0"/>
          <w:sz w:val="21"/>
        </w:rPr>
        <w:t>；个人账号只赋能不摊派。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详见 E 类的“给东西 vs 要东西”边界。</w:t>
      </w:r>
    </w:p>
    <w:p>
      <w:r>
        <w:rPr>
          <w:rFonts w:ascii="Times New Roman" w:hAnsi="Times New Roman" w:eastAsia="黑体"/>
          <w:b/>
          <w:color w:val="2C3E50"/>
          <w:sz w:val="25"/>
        </w:rPr>
        <w:t>B · 行业痛点与论据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Q：为什么要做传播端，不做选题或发货？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行业的连接逻辑是：书找人＝推式·内容力，人找书＝拉式·传播力，两者构成“内容力 × 传播力”闭环。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内容力一侧行业已有成熟平台产品覆盖，</w:t>
      </w:r>
      <w:r>
        <w:rPr>
          <w:rFonts w:ascii="Times New Roman" w:hAnsi="Times New Roman" w:eastAsia="宋体"/>
          <w:b/>
          <w:color w:val="1D2A38"/>
          <w:sz w:val="21"/>
        </w:rPr>
        <w:t>传播力一侧至今没有组织化的答案</w:t>
      </w:r>
      <w:r>
        <w:rPr>
          <w:rFonts w:ascii="Times New Roman" w:hAnsi="Times New Roman" w:eastAsia="宋体"/>
          <w:b w:val="0"/>
          <w:sz w:val="21"/>
        </w:rPr>
        <w:t>——这正是“把书卖出去”卡住的地方。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Q：具体痛感有多强？给数据。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① 内容电商占比已达 </w:t>
      </w:r>
      <w:r>
        <w:rPr>
          <w:rFonts w:ascii="Times New Roman" w:hAnsi="Times New Roman" w:eastAsia="宋体"/>
          <w:b/>
          <w:color w:val="1D2A38"/>
          <w:sz w:val="21"/>
        </w:rPr>
        <w:t>42.93%</w:t>
      </w:r>
      <w:r>
        <w:rPr>
          <w:rFonts w:ascii="Times New Roman" w:hAnsi="Times New Roman" w:eastAsia="宋体"/>
          <w:b w:val="0"/>
          <w:sz w:val="21"/>
        </w:rPr>
        <w:t>，即将超越货架电商；② 全国</w:t>
      </w:r>
      <w:r>
        <w:rPr>
          <w:rFonts w:ascii="Times New Roman" w:hAnsi="Times New Roman" w:eastAsia="宋体"/>
          <w:b/>
          <w:color w:val="1D2A38"/>
          <w:sz w:val="21"/>
        </w:rPr>
        <w:t>万余家门店、近 10 万员工</w:t>
      </w:r>
      <w:r>
        <w:rPr>
          <w:rFonts w:ascii="Times New Roman" w:hAnsi="Times New Roman" w:eastAsia="宋体"/>
          <w:b w:val="0"/>
          <w:sz w:val="21"/>
        </w:rPr>
        <w:t>被推入直播短视频，公开报道原话是“强行营业”——个位数观众里还有自己同事；③ 集团官网青年骨干座谈会记录，基层痛点第一条即“</w:t>
      </w:r>
      <w:r>
        <w:rPr>
          <w:rFonts w:ascii="Times New Roman" w:hAnsi="Times New Roman" w:eastAsia="宋体"/>
          <w:b/>
          <w:color w:val="1D2A38"/>
          <w:sz w:val="21"/>
        </w:rPr>
        <w:t>内容创新不足</w:t>
      </w:r>
      <w:r>
        <w:rPr>
          <w:rFonts w:ascii="Times New Roman" w:hAnsi="Times New Roman" w:eastAsia="宋体"/>
          <w:b w:val="0"/>
          <w:sz w:val="21"/>
        </w:rPr>
        <w:t>”。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判定：传播力这一层</w:t>
      </w:r>
      <w:r>
        <w:rPr>
          <w:rFonts w:ascii="Times New Roman" w:hAnsi="Times New Roman" w:eastAsia="宋体"/>
          <w:b/>
          <w:color w:val="1D2A38"/>
          <w:sz w:val="21"/>
        </w:rPr>
        <w:t>痛感最强 + 数据最轻 + AI 最擅长 + 尚无组织化答案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Q：行业不是已经有样板了吗？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有机制样板，但没有工具解。河南新华“悦读阅精彩”验证了省级统一品牌＋统一节奏可行，但靠 1 名荐书官＋400 名推广人，</w:t>
      </w:r>
      <w:r>
        <w:rPr>
          <w:rFonts w:ascii="Times New Roman" w:hAnsi="Times New Roman" w:eastAsia="宋体"/>
          <w:b/>
          <w:color w:val="1D2A38"/>
          <w:sz w:val="21"/>
        </w:rPr>
        <w:t>人均产出不足 1 条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机制一侧已被验证，</w:t>
      </w:r>
      <w:r>
        <w:rPr>
          <w:rFonts w:ascii="Times New Roman" w:hAnsi="Times New Roman" w:eastAsia="宋体"/>
          <w:b/>
          <w:color w:val="1D2A38"/>
          <w:sz w:val="21"/>
        </w:rPr>
        <w:t>未被解决的是“批量属地化生产”</w:t>
      </w:r>
      <w:r>
        <w:rPr>
          <w:rFonts w:ascii="Times New Roman" w:hAnsi="Times New Roman" w:eastAsia="宋体"/>
          <w:b w:val="0"/>
          <w:sz w:val="21"/>
        </w:rPr>
        <w:t>——让 N 个主体各自产出互不相同、事实无误、合规可查的内容。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Q：痛点到底是“不会做”还是别的？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痛点不是“不会做”，而是“只有少数人会做”——能力还依附在人身上，没有变成组织产能。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Q：为什么选择阅读推广作为一期场景？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阅读推广是</w:t>
      </w:r>
      <w:r>
        <w:rPr>
          <w:rFonts w:ascii="Times New Roman" w:hAnsi="Times New Roman" w:eastAsia="宋体"/>
          <w:b/>
          <w:color w:val="1D2A38"/>
          <w:sz w:val="21"/>
        </w:rPr>
        <w:t>首期核心场景，不是项目的边界</w:t>
      </w:r>
      <w:r>
        <w:rPr>
          <w:rFonts w:ascii="Times New Roman" w:hAnsi="Times New Roman" w:eastAsia="宋体"/>
          <w:b w:val="0"/>
          <w:sz w:val="21"/>
        </w:rPr>
        <w:t>。一期只做这一件事，二期才扩教育服务、版权输出、文化出口、集团品牌活动。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（答辩要点：只写“定位高”显得格局虚，只写“范围小”显得没格局——两句必须都在。）</w:t>
      </w:r>
    </w:p>
    <w:p>
      <w:r>
        <w:rPr>
          <w:rFonts w:ascii="Times New Roman" w:hAnsi="Times New Roman" w:eastAsia="黑体"/>
          <w:b/>
          <w:color w:val="2C3E50"/>
          <w:sz w:val="25"/>
        </w:rPr>
        <w:t>C · 凭什么你们做（家底与差异化）</w:t>
      </w:r>
    </w:p>
    <w:p>
      <w:r>
        <w:rPr>
          <w:rFonts w:ascii="Times New Roman" w:hAnsi="Times New Roman" w:eastAsia="黑体"/>
          <w:b/>
          <w:color w:val="8C2B21"/>
          <w:sz w:val="22"/>
        </w:rPr>
        <w:t>Q：集团的独特优势是什么？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三层家底：</w:t>
      </w:r>
      <w:r>
        <w:rPr>
          <w:rFonts w:ascii="Times New Roman" w:hAnsi="Times New Roman" w:eastAsia="宋体"/>
          <w:b/>
          <w:color w:val="1D2A38"/>
          <w:sz w:val="21"/>
        </w:rPr>
        <w:t>内容源</w:t>
      </w:r>
      <w:r>
        <w:rPr>
          <w:rFonts w:ascii="Times New Roman" w:hAnsi="Times New Roman" w:eastAsia="宋体"/>
          <w:b w:val="0"/>
          <w:sz w:val="21"/>
        </w:rPr>
        <w:t>——11 家出版社、4 报 26 刊，南方传媒年出版 8047 种，《我的阿勒泰》获中国版权金奖；</w:t>
      </w:r>
      <w:r>
        <w:rPr>
          <w:rFonts w:ascii="Times New Roman" w:hAnsi="Times New Roman" w:eastAsia="宋体"/>
          <w:b/>
          <w:color w:val="1D2A38"/>
          <w:sz w:val="21"/>
        </w:rPr>
        <w:t>渠道网</w:t>
      </w:r>
      <w:r>
        <w:rPr>
          <w:rFonts w:ascii="Times New Roman" w:hAnsi="Times New Roman" w:eastAsia="宋体"/>
          <w:b w:val="0"/>
          <w:sz w:val="21"/>
        </w:rPr>
        <w:t>——364 个网点覆盖全省，教材发行 4.15 亿册，年年送往 1.7 万所学校；</w:t>
      </w:r>
      <w:r>
        <w:rPr>
          <w:rFonts w:ascii="Times New Roman" w:hAnsi="Times New Roman" w:eastAsia="宋体"/>
          <w:b/>
          <w:color w:val="1D2A38"/>
          <w:sz w:val="21"/>
        </w:rPr>
        <w:t>组织力</w:t>
      </w:r>
      <w:r>
        <w:rPr>
          <w:rFonts w:ascii="Times New Roman" w:hAnsi="Times New Roman" w:eastAsia="宋体"/>
          <w:b w:val="0"/>
          <w:sz w:val="21"/>
        </w:rPr>
        <w:t>——各级法人企业超 300 家、在职员工近万人。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执行力佐证：年年承担“全国最大规模的统一分发”，这套组织力做内容分发是</w:t>
      </w:r>
      <w:r>
        <w:rPr>
          <w:rFonts w:ascii="Times New Roman" w:hAnsi="Times New Roman" w:eastAsia="宋体"/>
          <w:b/>
          <w:color w:val="1D2A38"/>
          <w:sz w:val="21"/>
        </w:rPr>
        <w:t>降维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Q：集团内部的爆款能力有实证吗？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有。《新周刊》267 万粉、微短剧《厌朱墙》4000 万热度、“李沛聪”IP 点击 8000 万——</w:t>
      </w:r>
      <w:r>
        <w:rPr>
          <w:rFonts w:ascii="Times New Roman" w:hAnsi="Times New Roman" w:eastAsia="宋体"/>
          <w:b/>
          <w:color w:val="1D2A38"/>
          <w:sz w:val="21"/>
        </w:rPr>
        <w:t>把书做成爆款的团队公司内部就有，只是没接到发行端。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Q：横向对比的差距在哪？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广东新华协同账号 </w:t>
      </w:r>
      <w:r>
        <w:rPr>
          <w:rFonts w:ascii="Times New Roman" w:hAnsi="Times New Roman" w:eastAsia="宋体"/>
          <w:b/>
          <w:color w:val="1D2A38"/>
          <w:sz w:val="21"/>
        </w:rPr>
        <w:t>230 个</w:t>
      </w:r>
      <w:r>
        <w:rPr>
          <w:rFonts w:ascii="Times New Roman" w:hAnsi="Times New Roman" w:eastAsia="宋体"/>
          <w:b w:val="0"/>
          <w:sz w:val="21"/>
        </w:rPr>
        <w:t>，河北新华（行业金案）</w:t>
      </w:r>
      <w:r>
        <w:rPr>
          <w:rFonts w:ascii="Times New Roman" w:hAnsi="Times New Roman" w:eastAsia="宋体"/>
          <w:b/>
          <w:color w:val="1D2A38"/>
          <w:sz w:val="21"/>
        </w:rPr>
        <w:t>169 个</w:t>
      </w:r>
      <w:r>
        <w:rPr>
          <w:rFonts w:ascii="Times New Roman" w:hAnsi="Times New Roman" w:eastAsia="宋体"/>
          <w:b w:val="0"/>
          <w:sz w:val="21"/>
        </w:rPr>
        <w:t xml:space="preserve">——我们账号数多 36%；但年曝光：河北新华 </w:t>
      </w:r>
      <w:r>
        <w:rPr>
          <w:rFonts w:ascii="Times New Roman" w:hAnsi="Times New Roman" w:eastAsia="宋体"/>
          <w:b/>
          <w:color w:val="1D2A38"/>
          <w:sz w:val="21"/>
        </w:rPr>
        <w:t>2.05 亿人次</w:t>
      </w:r>
      <w:r>
        <w:rPr>
          <w:rFonts w:ascii="Times New Roman" w:hAnsi="Times New Roman" w:eastAsia="宋体"/>
          <w:b w:val="0"/>
          <w:sz w:val="21"/>
        </w:rPr>
        <w:t>，我们单次峰值 96.47 万。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结论：变量只剩内容。</w:t>
      </w:r>
      <w:r>
        <w:rPr>
          <w:rFonts w:ascii="Times New Roman" w:hAnsi="Times New Roman" w:eastAsia="宋体"/>
          <w:b w:val="0"/>
          <w:sz w:val="21"/>
        </w:rPr>
        <w:t>账号的加法做了，内容的乘法没有做。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Q：“三个不相称”是什么？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集团资质是</w:t>
      </w:r>
      <w:r>
        <w:rPr>
          <w:rFonts w:ascii="Times New Roman" w:hAnsi="Times New Roman" w:eastAsia="宋体"/>
          <w:b/>
          <w:color w:val="1D2A38"/>
          <w:sz w:val="21"/>
        </w:rPr>
        <w:t>全国级</w:t>
      </w:r>
      <w:r>
        <w:rPr>
          <w:rFonts w:ascii="Times New Roman" w:hAnsi="Times New Roman" w:eastAsia="宋体"/>
          <w:b w:val="0"/>
          <w:sz w:val="21"/>
        </w:rPr>
        <w:t>（文化企业 30 强连 5 年、版权输出年超 300 种全国前列）；集团产品是</w:t>
      </w:r>
      <w:r>
        <w:rPr>
          <w:rFonts w:ascii="Times New Roman" w:hAnsi="Times New Roman" w:eastAsia="宋体"/>
          <w:b/>
          <w:color w:val="1D2A38"/>
          <w:sz w:val="21"/>
        </w:rPr>
        <w:t>全国级</w:t>
      </w:r>
      <w:r>
        <w:rPr>
          <w:rFonts w:ascii="Times New Roman" w:hAnsi="Times New Roman" w:eastAsia="宋体"/>
          <w:b w:val="0"/>
          <w:sz w:val="21"/>
        </w:rPr>
        <w:t>（16 科目粤版国标教材覆盖全国）；集团平台是</w:t>
      </w:r>
      <w:r>
        <w:rPr>
          <w:rFonts w:ascii="Times New Roman" w:hAnsi="Times New Roman" w:eastAsia="宋体"/>
          <w:b/>
          <w:color w:val="1D2A38"/>
          <w:sz w:val="21"/>
        </w:rPr>
        <w:t>全国级</w:t>
      </w:r>
      <w:r>
        <w:rPr>
          <w:rFonts w:ascii="Times New Roman" w:hAnsi="Times New Roman" w:eastAsia="宋体"/>
          <w:b w:val="0"/>
          <w:sz w:val="21"/>
        </w:rPr>
        <w:t>（南国书香节＝全球最大华文书展）。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而传播还是账号级的</w:t>
      </w:r>
      <w:r>
        <w:rPr>
          <w:rFonts w:ascii="Times New Roman" w:hAnsi="Times New Roman" w:eastAsia="宋体"/>
          <w:b w:val="0"/>
          <w:sz w:val="21"/>
        </w:rPr>
        <w:t>——三个不相称。</w:t>
      </w:r>
    </w:p>
    <w:p>
      <w:r>
        <w:rPr>
          <w:rFonts w:ascii="Times New Roman" w:hAnsi="Times New Roman" w:eastAsia="黑体"/>
          <w:b/>
          <w:color w:val="2C3E50"/>
          <w:sz w:val="25"/>
        </w:rPr>
        <w:t>D · 技术方案与护城河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Q：技术架构怎么设计的？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“三明治”分层：</w:t>
      </w:r>
      <w:r>
        <w:rPr>
          <w:rFonts w:ascii="Times New Roman" w:hAnsi="Times New Roman" w:eastAsia="宋体"/>
          <w:b/>
          <w:color w:val="1D2A38"/>
          <w:sz w:val="21"/>
        </w:rPr>
        <w:t>事实层</w:t>
      </w:r>
      <w:r>
        <w:rPr>
          <w:rFonts w:ascii="Times New Roman" w:hAnsi="Times New Roman" w:eastAsia="宋体"/>
          <w:b w:val="0"/>
          <w:sz w:val="21"/>
        </w:rPr>
        <w:t xml:space="preserve">（结构化书目数据，模型只读、不可写入）→ </w:t>
      </w:r>
      <w:r>
        <w:rPr>
          <w:rFonts w:ascii="Times New Roman" w:hAnsi="Times New Roman" w:eastAsia="宋体"/>
          <w:b/>
          <w:color w:val="1D2A38"/>
          <w:sz w:val="21"/>
        </w:rPr>
        <w:t>表达层</w:t>
      </w:r>
      <w:r>
        <w:rPr>
          <w:rFonts w:ascii="Times New Roman" w:hAnsi="Times New Roman" w:eastAsia="宋体"/>
          <w:b w:val="0"/>
          <w:sz w:val="21"/>
        </w:rPr>
        <w:t xml:space="preserve">（LLM 只负责文字组织，无权生成新事实）→ </w:t>
      </w:r>
      <w:r>
        <w:rPr>
          <w:rFonts w:ascii="Times New Roman" w:hAnsi="Times New Roman" w:eastAsia="宋体"/>
          <w:b/>
          <w:color w:val="1D2A38"/>
          <w:sz w:val="21"/>
        </w:rPr>
        <w:t>校验层</w:t>
      </w:r>
      <w:r>
        <w:rPr>
          <w:rFonts w:ascii="Times New Roman" w:hAnsi="Times New Roman" w:eastAsia="宋体"/>
          <w:b w:val="0"/>
          <w:sz w:val="21"/>
        </w:rPr>
        <w:t>（确定性代码硬门禁，不依赖模型判断，可审计）。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Q：凭什么说“让错误物理上不可能发生”？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书名、作者、定价只能从书目库取值，</w:t>
      </w:r>
      <w:r>
        <w:rPr>
          <w:rFonts w:ascii="Times New Roman" w:hAnsi="Times New Roman" w:eastAsia="宋体"/>
          <w:b/>
          <w:color w:val="1D2A38"/>
          <w:sz w:val="21"/>
        </w:rPr>
        <w:t>模型物理上无权生成</w:t>
      </w:r>
      <w:r>
        <w:rPr>
          <w:rFonts w:ascii="Times New Roman" w:hAnsi="Times New Roman" w:eastAsia="宋体"/>
          <w:b w:val="0"/>
          <w:sz w:val="21"/>
        </w:rPr>
        <w:t>——不是让 AI 少犯错，是让这类错误在物理上不可能发生。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对比案例：2025 年 5 月《芝加哥太阳报》夏季阅读书单，15 本书里只有 5 本真实存在，虚构书名被安在真作家头上，</w:t>
      </w:r>
      <w:r>
        <w:rPr>
          <w:rFonts w:ascii="Times New Roman" w:hAnsi="Times New Roman" w:eastAsia="宋体"/>
          <w:b/>
          <w:color w:val="1D2A38"/>
          <w:sz w:val="21"/>
        </w:rPr>
        <w:t>经过专业编辑流程仍未拦住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Q：差异化是怎么保证的？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用数学不靠提示词</w:t>
      </w:r>
      <w:r>
        <w:rPr>
          <w:rFonts w:ascii="Times New Roman" w:hAnsi="Times New Roman" w:eastAsia="宋体"/>
          <w:b w:val="0"/>
          <w:sz w:val="21"/>
        </w:rPr>
        <w:t xml:space="preserve">：地域类型(4) × 平台(4) × 角度(6) × 人设(5) × 体裁(5) = </w:t>
      </w:r>
      <w:r>
        <w:rPr>
          <w:rFonts w:ascii="Times New Roman" w:hAnsi="Times New Roman" w:eastAsia="宋体"/>
          <w:b/>
          <w:color w:val="1D2A38"/>
          <w:sz w:val="21"/>
        </w:rPr>
        <w:t>2400 种组合</w:t>
      </w:r>
      <w:r>
        <w:rPr>
          <w:rFonts w:ascii="Times New Roman" w:hAnsi="Times New Roman" w:eastAsia="宋体"/>
          <w:b w:val="0"/>
          <w:sz w:val="21"/>
        </w:rPr>
        <w:t>；实际账号位约 300 个，</w:t>
      </w:r>
      <w:r>
        <w:rPr>
          <w:rFonts w:ascii="Times New Roman" w:hAnsi="Times New Roman" w:eastAsia="宋体"/>
          <w:b/>
          <w:color w:val="1D2A38"/>
          <w:sz w:val="21"/>
        </w:rPr>
        <w:t>冗余 8 倍</w:t>
      </w:r>
      <w:r>
        <w:rPr>
          <w:rFonts w:ascii="Times New Roman" w:hAnsi="Times New Roman" w:eastAsia="宋体"/>
          <w:b w:val="0"/>
          <w:sz w:val="21"/>
        </w:rPr>
        <w:t>，一次去重派号即可保证任意两号互不重复。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人工做不到：600 条/周 = 每天 85 条 = 需 10–15 人全职只写文案，且仍无法保证不雷同。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Q：护城河到底是什么？（必背）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先承认通用工具的能力，再讲三条：① </w:t>
      </w:r>
      <w:r>
        <w:rPr>
          <w:rFonts w:ascii="Times New Roman" w:hAnsi="Times New Roman" w:eastAsia="宋体"/>
          <w:b/>
          <w:color w:val="1D2A38"/>
          <w:sz w:val="21"/>
        </w:rPr>
        <w:t>出版业事实内核</w:t>
      </w:r>
      <w:r>
        <w:rPr>
          <w:rFonts w:ascii="Times New Roman" w:hAnsi="Times New Roman" w:eastAsia="宋体"/>
          <w:b w:val="0"/>
          <w:sz w:val="21"/>
        </w:rPr>
        <w:t xml:space="preserve">——通用工具没有书目库，会编错书名定价；② </w:t>
      </w:r>
      <w:r>
        <w:rPr>
          <w:rFonts w:ascii="Times New Roman" w:hAnsi="Times New Roman" w:eastAsia="宋体"/>
          <w:b/>
          <w:color w:val="1D2A38"/>
          <w:sz w:val="21"/>
        </w:rPr>
        <w:t>出版业特有合规</w:t>
      </w:r>
      <w:r>
        <w:rPr>
          <w:rFonts w:ascii="Times New Roman" w:hAnsi="Times New Roman" w:eastAsia="宋体"/>
          <w:b w:val="0"/>
          <w:sz w:val="21"/>
        </w:rPr>
        <w:t xml:space="preserve">——导向三审＋《广告法》＋AIGC 法定标识，通用工具不做，因为不是出版单位；③ </w:t>
      </w:r>
      <w:r>
        <w:rPr>
          <w:rFonts w:ascii="Times New Roman" w:hAnsi="Times New Roman" w:eastAsia="宋体"/>
          <w:b/>
          <w:color w:val="1D2A38"/>
          <w:sz w:val="21"/>
        </w:rPr>
        <w:t>属地化差异化产能</w:t>
      </w:r>
      <w:r>
        <w:rPr>
          <w:rFonts w:ascii="Times New Roman" w:hAnsi="Times New Roman" w:eastAsia="宋体"/>
          <w:b w:val="0"/>
          <w:sz w:val="21"/>
        </w:rPr>
        <w:t>——通用工具“素材统一取用”的产品逻辑，恰恰会放大矩阵同质化风险。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Q：差异化度的阈值是多少？怎么定？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阈值 </w:t>
      </w:r>
      <w:r>
        <w:rPr>
          <w:rFonts w:ascii="Times New Roman" w:hAnsi="Times New Roman" w:eastAsia="宋体"/>
          <w:b/>
          <w:color w:val="1D2A38"/>
          <w:sz w:val="21"/>
        </w:rPr>
        <w:t>0.6</w:t>
      </w:r>
      <w:r>
        <w:rPr>
          <w:rFonts w:ascii="Times New Roman" w:hAnsi="Times New Roman" w:eastAsia="宋体"/>
          <w:b w:val="0"/>
          <w:sz w:val="21"/>
        </w:rPr>
        <w:t>：新生成内容与库内已有内容的相似度</w:t>
      </w:r>
      <w:r>
        <w:rPr>
          <w:rFonts w:ascii="Times New Roman" w:hAnsi="Times New Roman" w:eastAsia="宋体"/>
          <w:b/>
          <w:color w:val="1D2A38"/>
          <w:sz w:val="21"/>
        </w:rPr>
        <w:t>低于 0.6 才放行</w:t>
      </w:r>
      <w:r>
        <w:rPr>
          <w:rFonts w:ascii="Times New Roman" w:hAnsi="Times New Roman" w:eastAsia="宋体"/>
          <w:b w:val="0"/>
          <w:sz w:val="21"/>
        </w:rPr>
        <w:t>，达到或超过即拦截。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这是</w:t>
      </w:r>
      <w:r>
        <w:rPr>
          <w:rFonts w:ascii="Times New Roman" w:hAnsi="Times New Roman" w:eastAsia="宋体"/>
          <w:b/>
          <w:color w:val="1D2A38"/>
          <w:sz w:val="21"/>
        </w:rPr>
        <w:t>硬编码的确定性判断</w:t>
      </w:r>
      <w:r>
        <w:rPr>
          <w:rFonts w:ascii="Times New Roman" w:hAnsi="Times New Roman" w:eastAsia="宋体"/>
          <w:b w:val="0"/>
          <w:sz w:val="21"/>
        </w:rPr>
        <w:t>，不依赖模型自由裁量——目的是防止矩阵号撞车（雷同内容会被平台判定为营销号矩阵，触发连坐）。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Q：四道门禁具体是什么？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① </w:t>
      </w:r>
      <w:r>
        <w:rPr>
          <w:rFonts w:ascii="Times New Roman" w:hAnsi="Times New Roman" w:eastAsia="宋体"/>
          <w:b/>
          <w:color w:val="1D2A38"/>
          <w:sz w:val="21"/>
        </w:rPr>
        <w:t>禁用语预检</w:t>
      </w:r>
      <w:r>
        <w:rPr>
          <w:rFonts w:ascii="Times New Roman" w:hAnsi="Times New Roman" w:eastAsia="宋体"/>
          <w:b w:val="0"/>
          <w:sz w:val="21"/>
        </w:rPr>
        <w:t xml:space="preserve">——《广告法》红线词自动标红，视频场景 OCR 查画面＋ASR 查口播，两道都要过；② </w:t>
      </w:r>
      <w:r>
        <w:rPr>
          <w:rFonts w:ascii="Times New Roman" w:hAnsi="Times New Roman" w:eastAsia="宋体"/>
          <w:b/>
          <w:color w:val="1D2A38"/>
          <w:sz w:val="21"/>
        </w:rPr>
        <w:t>事实一致性</w:t>
      </w:r>
      <w:r>
        <w:rPr>
          <w:rFonts w:ascii="Times New Roman" w:hAnsi="Times New Roman" w:eastAsia="宋体"/>
          <w:b w:val="0"/>
          <w:sz w:val="21"/>
        </w:rPr>
        <w:t xml:space="preserve">——书名/定价逐项与书目库比对，改了就出不来稿；③ </w:t>
      </w:r>
      <w:r>
        <w:rPr>
          <w:rFonts w:ascii="Times New Roman" w:hAnsi="Times New Roman" w:eastAsia="宋体"/>
          <w:b/>
          <w:color w:val="1D2A38"/>
          <w:sz w:val="21"/>
        </w:rPr>
        <w:t>差异化度</w:t>
      </w:r>
      <w:r>
        <w:rPr>
          <w:rFonts w:ascii="Times New Roman" w:hAnsi="Times New Roman" w:eastAsia="宋体"/>
          <w:b w:val="0"/>
          <w:sz w:val="21"/>
        </w:rPr>
        <w:t xml:space="preserve">——低于阈值不放行，防止撞车；④ </w:t>
      </w:r>
      <w:r>
        <w:rPr>
          <w:rFonts w:ascii="Times New Roman" w:hAnsi="Times New Roman" w:eastAsia="宋体"/>
          <w:b/>
          <w:color w:val="1D2A38"/>
          <w:sz w:val="21"/>
        </w:rPr>
        <w:t>平台规则适配＋AIGC 法定标识</w:t>
      </w:r>
      <w:r>
        <w:rPr>
          <w:rFonts w:ascii="Times New Roman" w:hAnsi="Times New Roman" w:eastAsia="宋体"/>
          <w:b w:val="0"/>
          <w:sz w:val="21"/>
        </w:rPr>
        <w:t>——导出自动注入显式＋隐式标识，</w:t>
      </w:r>
      <w:r>
        <w:rPr>
          <w:rFonts w:ascii="Times New Roman" w:hAnsi="Times New Roman" w:eastAsia="宋体"/>
          <w:b/>
          <w:color w:val="1D2A38"/>
          <w:sz w:val="21"/>
        </w:rPr>
        <w:t>不提供去标识开关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Q：AIGC 标识这条有什么额外价值？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多数 AI 工具导出的内容并不带合规标识，法律风险由使用方自己扛。中枢内置标识，等于替集团把这道法定义务接住了。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Q：这份合规能力有制度依据吗？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有。《人工智能生成合成内容标识办法》2025 年 9 月 1 日施行；《广告法》；此外，</w:t>
      </w:r>
      <w:r>
        <w:rPr>
          <w:rFonts w:ascii="Times New Roman" w:hAnsi="Times New Roman" w:eastAsia="宋体"/>
          <w:b/>
          <w:color w:val="1D2A38"/>
          <w:sz w:val="21"/>
        </w:rPr>
        <w:t>《出版业人工智能应用安全要求》行业标准</w:t>
      </w:r>
      <w:r>
        <w:rPr>
          <w:rFonts w:ascii="Times New Roman" w:hAnsi="Times New Roman" w:eastAsia="宋体"/>
          <w:b w:val="0"/>
          <w:sz w:val="21"/>
        </w:rPr>
        <w:t>（全国新闻出版标准化技术委员会 SAC/TC 527 归口、国家新闻出版署批准立项）已于 2026 年 8 月 28 日发布阶段性成果，本项目合规设计与其方向一致。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Q：数据安全怎么保证？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一期不涉及境外平台与数据出境；书目库对模型</w:t>
      </w:r>
      <w:r>
        <w:rPr>
          <w:rFonts w:ascii="Times New Roman" w:hAnsi="Times New Roman" w:eastAsia="宋体"/>
          <w:b/>
          <w:color w:val="1D2A38"/>
          <w:sz w:val="21"/>
        </w:rPr>
        <w:t>只读</w:t>
      </w:r>
      <w:r>
        <w:rPr>
          <w:rFonts w:ascii="Times New Roman" w:hAnsi="Times New Roman" w:eastAsia="宋体"/>
          <w:b w:val="0"/>
          <w:sz w:val="21"/>
        </w:rPr>
        <w:t>；涉密书稿、未公开选题、未出版书稿、内部经营数据不进入任何公共模型；支持私有化部署；审计日志全量留痕可追溯。</w:t>
      </w:r>
    </w:p>
    <w:p>
      <w:r>
        <w:rPr>
          <w:rFonts w:ascii="Times New Roman" w:hAnsi="Times New Roman" w:eastAsia="黑体"/>
          <w:b/>
          <w:color w:val="2C3E50"/>
          <w:sz w:val="25"/>
        </w:rPr>
        <w:t>E · 组织落地与合规红线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Q：内容合规了，怎么派给账号人员发布？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关键前提：我们不下任务。</w:t>
      </w:r>
      <w:r>
        <w:rPr>
          <w:rFonts w:ascii="Times New Roman" w:hAnsi="Times New Roman" w:eastAsia="宋体"/>
          <w:b w:val="0"/>
          <w:sz w:val="21"/>
        </w:rPr>
        <w:t xml:space="preserve"> 两条通道分开：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机构账号轨——排期领取</w:t>
      </w:r>
      <w:r>
        <w:rPr>
          <w:rFonts w:ascii="Times New Roman" w:hAnsi="Times New Roman" w:eastAsia="宋体"/>
          <w:b w:val="0"/>
          <w:sz w:val="21"/>
        </w:rPr>
        <w:t>：出版社官号、门店号等，发布属职务行为，总部可统一调度排期；登录后台“内容货架”选属地化版本，取走发布，回填链接计入归因（</w:t>
      </w:r>
      <w:r>
        <w:rPr>
          <w:rFonts w:ascii="Times New Roman" w:hAnsi="Times New Roman" w:eastAsia="宋体"/>
          <w:b/>
          <w:color w:val="1D2A38"/>
          <w:sz w:val="21"/>
        </w:rPr>
        <w:t>只看机构汇总</w:t>
      </w:r>
      <w:r>
        <w:rPr>
          <w:rFonts w:ascii="Times New Roman" w:hAnsi="Times New Roman" w:eastAsia="宋体"/>
          <w:b w:val="0"/>
          <w:sz w:val="21"/>
        </w:rPr>
        <w:t>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个人账号轨——自愿取用</w:t>
      </w:r>
      <w:r>
        <w:rPr>
          <w:rFonts w:ascii="Times New Roman" w:hAnsi="Times New Roman" w:eastAsia="宋体"/>
          <w:b w:val="0"/>
          <w:sz w:val="21"/>
        </w:rPr>
        <w:t>：只上架不派发，一键复制／带话题分享，把操作成本降到最低；不排名、不通报、不进考核；回填链接纯自愿，不回填不追责。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Q：网点凭什么愿意上来领？（必背）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因为他不用被要求，是愿意上来。</w:t>
      </w:r>
      <w:r>
        <w:rPr>
          <w:rFonts w:ascii="Times New Roman" w:hAnsi="Times New Roman" w:eastAsia="宋体"/>
          <w:b w:val="0"/>
          <w:sz w:val="21"/>
        </w:rPr>
        <w:t xml:space="preserve"> 平台给他三样东西：① </w:t>
      </w:r>
      <w:r>
        <w:rPr>
          <w:rFonts w:ascii="Times New Roman" w:hAnsi="Times New Roman" w:eastAsia="宋体"/>
          <w:b/>
          <w:color w:val="1D2A38"/>
          <w:sz w:val="21"/>
        </w:rPr>
        <w:t>现成的内容</w:t>
      </w:r>
      <w:r>
        <w:rPr>
          <w:rFonts w:ascii="Times New Roman" w:hAnsi="Times New Roman" w:eastAsia="宋体"/>
          <w:b w:val="0"/>
          <w:sz w:val="21"/>
        </w:rPr>
        <w:t xml:space="preserve">——登录就有属地化版本，不用自己写；② </w:t>
      </w:r>
      <w:r>
        <w:rPr>
          <w:rFonts w:ascii="Times New Roman" w:hAnsi="Times New Roman" w:eastAsia="宋体"/>
          <w:b/>
          <w:color w:val="1D2A38"/>
          <w:sz w:val="21"/>
        </w:rPr>
        <w:t>流量配额</w:t>
      </w:r>
      <w:r>
        <w:rPr>
          <w:rFonts w:ascii="Times New Roman" w:hAnsi="Times New Roman" w:eastAsia="宋体"/>
          <w:b w:val="0"/>
          <w:sz w:val="21"/>
        </w:rPr>
        <w:t xml:space="preserve">——认领内容配流量扶持；③ </w:t>
      </w:r>
      <w:r>
        <w:rPr>
          <w:rFonts w:ascii="Times New Roman" w:hAnsi="Times New Roman" w:eastAsia="宋体"/>
          <w:b/>
          <w:color w:val="1D2A38"/>
          <w:sz w:val="21"/>
        </w:rPr>
        <w:t>荣誉和成长</w:t>
      </w:r>
      <w:r>
        <w:rPr>
          <w:rFonts w:ascii="Times New Roman" w:hAnsi="Times New Roman" w:eastAsia="宋体"/>
          <w:b w:val="0"/>
          <w:sz w:val="21"/>
        </w:rPr>
        <w:t>——被采用多、传播好的，上集团榜单、给培训资源。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一句话：我们不给任务，只给东西。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Q：“给东西”和“要东西”的边界在哪？（必背）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凡是要东西的（转发／点赞／打卡／排名／考核发布量）一律禁止；凡是给东西的（工具／素材／流量／荣誉／成长）都可以统筹。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依据三条：① 平台矩阵规则“违规涉及全部账号统一处置”；② 劳动法——员工未转发被开除，法院认定公司违法；③ 中办国办明确规定不得将转发量作考评依据。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而且强制转发的真实触达近乎为零——</w:t>
      </w:r>
      <w:r>
        <w:rPr>
          <w:rFonts w:ascii="Times New Roman" w:hAnsi="Times New Roman" w:eastAsia="宋体"/>
          <w:b/>
          <w:color w:val="1D2A38"/>
          <w:sz w:val="21"/>
        </w:rPr>
        <w:t>超六成人屏蔽同事的营销内容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Q：为什么要把各层级账号都登记上来？是不是要接管？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登记是为了掌握底数＋保留处置能力，不是接管，更不代操作。</w:t>
      </w:r>
      <w:r>
        <w:rPr>
          <w:rFonts w:ascii="Times New Roman" w:hAnsi="Times New Roman" w:eastAsia="宋体"/>
          <w:b w:val="0"/>
          <w:sz w:val="21"/>
        </w:rPr>
        <w:t xml:space="preserve"> 各层级、各网点把所管账号登记上传，明确责任人；平时中枢不代发、不代运营。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一旦发生突发事件（内容违规、账号异常、被平台处置），能第一时间定位到账号与责任人，及时跟进处置，</w:t>
      </w:r>
      <w:r>
        <w:rPr>
          <w:rFonts w:ascii="Times New Roman" w:hAnsi="Times New Roman" w:eastAsia="宋体"/>
          <w:b/>
          <w:color w:val="1D2A38"/>
          <w:sz w:val="21"/>
        </w:rPr>
        <w:t>避免“找不到人、无人接手”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Q：账号是越多越好吗？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不是。</w:t>
      </w:r>
      <w:r>
        <w:rPr>
          <w:rFonts w:ascii="Times New Roman" w:hAnsi="Times New Roman" w:eastAsia="宋体"/>
          <w:b/>
          <w:color w:val="1D2A38"/>
          <w:sz w:val="21"/>
        </w:rPr>
        <w:t>账号是产能单位，不是荣誉头衔</w:t>
      </w:r>
      <w:r>
        <w:rPr>
          <w:rFonts w:ascii="Times New Roman" w:hAnsi="Times New Roman" w:eastAsia="宋体"/>
          <w:b w:val="0"/>
          <w:sz w:val="21"/>
        </w:rPr>
        <w:t>——设账号准入与退出机制，防止“申请时热闹、申请后空置”。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Q：试点怎么起步？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三步走：</w:t>
      </w:r>
      <w:r>
        <w:rPr>
          <w:rFonts w:ascii="Times New Roman" w:hAnsi="Times New Roman" w:eastAsia="宋体"/>
          <w:b/>
          <w:color w:val="1D2A38"/>
          <w:sz w:val="21"/>
        </w:rPr>
        <w:t>第一步试点</w:t>
      </w:r>
      <w:r>
        <w:rPr>
          <w:rFonts w:ascii="Times New Roman" w:hAnsi="Times New Roman" w:eastAsia="宋体"/>
          <w:b w:val="0"/>
          <w:sz w:val="21"/>
        </w:rPr>
        <w:t>——1 本书 × 3 类属地 × 2 个平台跑通闭环；</w:t>
      </w:r>
      <w:r>
        <w:rPr>
          <w:rFonts w:ascii="Times New Roman" w:hAnsi="Times New Roman" w:eastAsia="宋体"/>
          <w:b/>
          <w:color w:val="1D2A38"/>
          <w:sz w:val="21"/>
        </w:rPr>
        <w:t>第二步推广</w:t>
      </w:r>
      <w:r>
        <w:rPr>
          <w:rFonts w:ascii="Times New Roman" w:hAnsi="Times New Roman" w:eastAsia="宋体"/>
          <w:b w:val="0"/>
          <w:sz w:val="21"/>
        </w:rPr>
        <w:t>——自愿认领母版＋流量配额，两级看板呈现成效；</w:t>
      </w:r>
      <w:r>
        <w:rPr>
          <w:rFonts w:ascii="Times New Roman" w:hAnsi="Times New Roman" w:eastAsia="宋体"/>
          <w:b/>
          <w:color w:val="1D2A38"/>
          <w:sz w:val="21"/>
        </w:rPr>
        <w:t>第三步常态化</w:t>
      </w:r>
      <w:r>
        <w:rPr>
          <w:rFonts w:ascii="Times New Roman" w:hAnsi="Times New Roman" w:eastAsia="宋体"/>
          <w:b w:val="0"/>
          <w:sz w:val="21"/>
        </w:rPr>
        <w:t>——纳入集团管理与考核体系。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Q：登录和权限体系做了吗？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属</w:t>
      </w:r>
      <w:r>
        <w:rPr>
          <w:rFonts w:ascii="Times New Roman" w:hAnsi="Times New Roman" w:eastAsia="宋体"/>
          <w:b/>
          <w:color w:val="1D2A38"/>
          <w:sz w:val="21"/>
        </w:rPr>
        <w:t>技术开发阶段实现</w:t>
      </w:r>
      <w:r>
        <w:rPr>
          <w:rFonts w:ascii="Times New Roman" w:hAnsi="Times New Roman" w:eastAsia="宋体"/>
          <w:b w:val="0"/>
          <w:sz w:val="21"/>
        </w:rPr>
        <w:t>，演示原型未展开。实际部署时可</w:t>
      </w:r>
      <w:r>
        <w:rPr>
          <w:rFonts w:ascii="Times New Roman" w:hAnsi="Times New Roman" w:eastAsia="宋体"/>
          <w:b/>
          <w:color w:val="1D2A38"/>
          <w:sz w:val="21"/>
        </w:rPr>
        <w:t>对接集团统一身份认证</w:t>
      </w:r>
      <w:r>
        <w:rPr>
          <w:rFonts w:ascii="Times New Roman" w:hAnsi="Times New Roman" w:eastAsia="宋体"/>
          <w:b w:val="0"/>
          <w:sz w:val="21"/>
        </w:rPr>
        <w:t>，各层级、各网点按权限登录。</w:t>
      </w:r>
    </w:p>
    <w:p>
      <w:r>
        <w:rPr>
          <w:rFonts w:ascii="Times New Roman" w:hAnsi="Times New Roman" w:eastAsia="黑体"/>
          <w:b/>
          <w:color w:val="2C3E50"/>
          <w:sz w:val="25"/>
        </w:rPr>
        <w:t>F · 对标与竞品（外省新华、同行）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Q：最强的替代品是谁？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不在出版业，在商业市场——新榜「矩阵通」。</w:t>
      </w:r>
      <w:r>
        <w:rPr>
          <w:rFonts w:ascii="Times New Roman" w:hAnsi="Times New Roman" w:eastAsia="宋体"/>
          <w:b w:val="0"/>
          <w:sz w:val="21"/>
        </w:rPr>
        <w:t xml:space="preserve"> 账号管理／权限／AI 文案／合规拦截／看板全都有，服务 3000+ 企业。</w:t>
      </w:r>
      <w:r>
        <w:rPr>
          <w:rFonts w:ascii="Times New Roman" w:hAnsi="Times New Roman" w:eastAsia="宋体"/>
          <w:b/>
          <w:color w:val="1D2A38"/>
          <w:sz w:val="21"/>
        </w:rPr>
        <w:t>必须主动承认。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承认之后，护城河收敛为三条（见 D 类）。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Q：河南新华“悦读阅精彩”怎么看？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 xml:space="preserve">省级统一品牌＋统一节奏，覆盖 </w:t>
      </w:r>
      <w:r>
        <w:rPr>
          <w:rFonts w:ascii="Times New Roman" w:hAnsi="Times New Roman" w:eastAsia="宋体"/>
          <w:b/>
          <w:color w:val="1D2A38"/>
          <w:sz w:val="21"/>
        </w:rPr>
        <w:t>131 家门店</w:t>
      </w:r>
      <w:r>
        <w:rPr>
          <w:rFonts w:ascii="Times New Roman" w:hAnsi="Times New Roman" w:eastAsia="宋体"/>
          <w:b w:val="0"/>
          <w:sz w:val="21"/>
        </w:rPr>
        <w:t>，</w:t>
      </w:r>
      <w:r>
        <w:rPr>
          <w:rFonts w:ascii="Times New Roman" w:hAnsi="Times New Roman" w:eastAsia="宋体"/>
          <w:b/>
          <w:color w:val="1D2A38"/>
          <w:sz w:val="21"/>
        </w:rPr>
        <w:t>验证了机制假设</w:t>
      </w:r>
      <w:r>
        <w:rPr>
          <w:rFonts w:ascii="Times New Roman" w:hAnsi="Times New Roman" w:eastAsia="宋体"/>
          <w:b w:val="0"/>
          <w:sz w:val="21"/>
        </w:rPr>
        <w:t>；但靠 1 名荐书官＋400 名推广人，</w:t>
      </w:r>
      <w:r>
        <w:rPr>
          <w:rFonts w:ascii="Times New Roman" w:hAnsi="Times New Roman" w:eastAsia="宋体"/>
          <w:b/>
          <w:color w:val="1D2A38"/>
          <w:sz w:val="21"/>
        </w:rPr>
        <w:t>人均产出不足 1 条</w:t>
      </w:r>
      <w:r>
        <w:rPr>
          <w:rFonts w:ascii="Times New Roman" w:hAnsi="Times New Roman" w:eastAsia="宋体"/>
          <w:b w:val="0"/>
          <w:sz w:val="21"/>
        </w:rPr>
        <w:t>——瓶颈在产能。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Q：河北新华“169 号工程”怎么看？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169 个账号统一主题，年曝光 2.05 亿人次</w:t>
      </w:r>
      <w:r>
        <w:rPr>
          <w:rFonts w:ascii="Times New Roman" w:hAnsi="Times New Roman" w:eastAsia="宋体"/>
          <w:b w:val="0"/>
          <w:sz w:val="21"/>
        </w:rPr>
        <w:t>——这是我们最重要的</w:t>
      </w:r>
      <w:r>
        <w:rPr>
          <w:rFonts w:ascii="Times New Roman" w:hAnsi="Times New Roman" w:eastAsia="宋体"/>
          <w:b/>
          <w:color w:val="1D2A38"/>
          <w:sz w:val="21"/>
        </w:rPr>
        <w:t>对照锚点：证明变量在内容</w:t>
      </w:r>
      <w:r>
        <w:rPr>
          <w:rFonts w:ascii="Times New Roman" w:hAnsi="Times New Roman" w:eastAsia="宋体"/>
          <w:b w:val="0"/>
          <w:sz w:val="21"/>
        </w:rPr>
        <w:t>，不在账号数量。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Q：上海世纪“世纪墨池”怎么看？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16 个智能体，一键多平台物料，效率 +80%——但</w:t>
      </w:r>
      <w:r>
        <w:rPr>
          <w:rFonts w:ascii="Times New Roman" w:hAnsi="Times New Roman" w:eastAsia="宋体"/>
          <w:b/>
          <w:color w:val="1D2A38"/>
          <w:sz w:val="21"/>
        </w:rPr>
        <w:t>只是社内编辑工具，不碰跨主体治理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（即：它解决“一个社怎么写”，我们解决“N 个主体怎么各写各的还不撞车”。）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Q：浙江“传播大脑”怎么看？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省域融媒一张网，浙江出版参与出资（注册资本 4.9 亿）——</w:t>
      </w:r>
      <w:r>
        <w:rPr>
          <w:rFonts w:ascii="Times New Roman" w:hAnsi="Times New Roman" w:eastAsia="宋体"/>
          <w:b/>
          <w:color w:val="1D2A38"/>
          <w:sz w:val="21"/>
        </w:rPr>
        <w:t>证明省级中枢可行</w:t>
      </w:r>
      <w:r>
        <w:rPr>
          <w:rFonts w:ascii="Times New Roman" w:hAnsi="Times New Roman" w:eastAsia="宋体"/>
          <w:b w:val="0"/>
          <w:sz w:val="21"/>
        </w:rPr>
        <w:t>；但其“同稿多端复用”与我们“同内核 N 表达”</w:t>
      </w:r>
      <w:r>
        <w:rPr>
          <w:rFonts w:ascii="Times New Roman" w:hAnsi="Times New Roman" w:eastAsia="宋体"/>
          <w:b/>
          <w:color w:val="1D2A38"/>
          <w:sz w:val="21"/>
        </w:rPr>
        <w:t>方向相反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关键区别：它是同一条内容喂给多个端口，我们是统一事实内核、生成千种不同表达。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Q：市面上已经有 AI 荐书工具了，你们有什么不同？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它们是</w:t>
      </w:r>
      <w:r>
        <w:rPr>
          <w:rFonts w:ascii="Times New Roman" w:hAnsi="Times New Roman" w:eastAsia="宋体"/>
          <w:b/>
          <w:color w:val="1D2A38"/>
          <w:sz w:val="21"/>
        </w:rPr>
        <w:t>内容生成工具</w:t>
      </w:r>
      <w:r>
        <w:rPr>
          <w:rFonts w:ascii="Times New Roman" w:hAnsi="Times New Roman" w:eastAsia="宋体"/>
          <w:b w:val="0"/>
          <w:sz w:val="21"/>
        </w:rPr>
        <w:t>，我们做的是</w:t>
      </w:r>
      <w:r>
        <w:rPr>
          <w:rFonts w:ascii="Times New Roman" w:hAnsi="Times New Roman" w:eastAsia="宋体"/>
          <w:b/>
          <w:color w:val="1D2A38"/>
          <w:sz w:val="21"/>
        </w:rPr>
        <w:t>组织能力工程</w:t>
      </w:r>
      <w:r>
        <w:rPr>
          <w:rFonts w:ascii="Times New Roman" w:hAnsi="Times New Roman" w:eastAsia="宋体"/>
          <w:b w:val="0"/>
          <w:sz w:val="21"/>
        </w:rPr>
        <w:t>——多出来的三样：事实锁定（防编造）、组合差异化（防同质化）、发布前硬闸门（防翻车）。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Q：如果集团直接买新榜矩阵通呢？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矩阵通解决账号管理与合规拦截，</w:t>
      </w:r>
      <w:r>
        <w:rPr>
          <w:rFonts w:ascii="Times New Roman" w:hAnsi="Times New Roman" w:eastAsia="宋体"/>
          <w:b/>
          <w:color w:val="1D2A38"/>
          <w:sz w:val="21"/>
        </w:rPr>
        <w:t>但它的产品逻辑是“素材统一取用”，恰恰会放大矩阵同质化风险</w:t>
      </w:r>
      <w:r>
        <w:rPr>
          <w:rFonts w:ascii="Times New Roman" w:hAnsi="Times New Roman" w:eastAsia="宋体"/>
          <w:b w:val="0"/>
          <w:sz w:val="21"/>
        </w:rPr>
        <w:t>；且它没有出版业事实内核，会编错书名定价；也不做出版业特有的导向三审与 AIGC 法定标识。</w:t>
      </w:r>
    </w:p>
    <w:p>
      <w:r>
        <w:rPr>
          <w:rFonts w:ascii="Times New Roman" w:hAnsi="Times New Roman" w:eastAsia="黑体"/>
          <w:b/>
          <w:color w:val="2C3E50"/>
          <w:sz w:val="25"/>
        </w:rPr>
        <w:t>G · 成效与推广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Q：成效用哪几个指标衡量？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四维指标，口径分离、互不折算</w:t>
      </w:r>
      <w:r>
        <w:rPr>
          <w:rFonts w:ascii="Times New Roman" w:hAnsi="Times New Roman" w:eastAsia="宋体"/>
          <w:b w:val="0"/>
          <w:sz w:val="21"/>
        </w:rPr>
        <w:t>：产能（条数）／质量（差异化度、合规通过率）／影响（曝光、转载、主流采纳）／效益（转化、客流）。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分开计量是为了避免用曝光数掩盖转化问题——这是国企汇报里最容易出事的地方。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Q：三期路线分别是什么？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同一个内核、同一套机制，在三级台阶上换名字：</w:t>
      </w:r>
      <w:r>
        <w:rPr>
          <w:rFonts w:ascii="Times New Roman" w:hAnsi="Times New Roman" w:eastAsia="宋体"/>
          <w:b/>
          <w:color w:val="1D2A38"/>
          <w:sz w:val="21"/>
        </w:rPr>
        <w:t>一期“管得住”（2026，组织产能）→ 二期“卖得动”（2027，传播资产）→ 三期“立得住”（2028，行业标准）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一期落地阅读推广跑通闭环；二期扩展智能备课、阅读伴学、版权与国际传播、南国书香节全省联动；三期借学习强国／央媒通道做成全国性文化事件，并把机制对外复制。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Q：成效怎么算？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影响与效益双收，但各有各口径、不互相折算。</w:t>
      </w:r>
      <w:r>
        <w:rPr>
          <w:rFonts w:ascii="Times New Roman" w:hAnsi="Times New Roman" w:eastAsia="宋体"/>
          <w:b w:val="0"/>
          <w:sz w:val="21"/>
        </w:rPr>
        <w:t xml:space="preserve"> 直接效益：GMV／到店客流；间接效益五条：版权输出议价能力、教材政企投标品牌加分、文化产业项目谈判筹码、书香节商业价值、人力成本节约。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组织效益：账号资产化、内容资产沉淀、合规能力内建。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四维指标：产能（条数）／质量（差异度、合规通过率）／影响（曝光、转载、主流平台采纳）／效益（转化、客流）。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Q：能承诺具体数字吗？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不能，也不该。</w:t>
      </w:r>
      <w:r>
        <w:rPr>
          <w:rFonts w:ascii="Times New Roman" w:hAnsi="Times New Roman" w:eastAsia="宋体"/>
          <w:b w:val="0"/>
          <w:sz w:val="21"/>
        </w:rPr>
        <w:t xml:space="preserve"> 传播成效符合幂律分布，头部内容贡献绝大部分效果。口径一律“</w:t>
      </w:r>
      <w:r>
        <w:rPr>
          <w:rFonts w:ascii="Times New Roman" w:hAnsi="Times New Roman" w:eastAsia="宋体"/>
          <w:b/>
          <w:color w:val="1D2A38"/>
          <w:sz w:val="21"/>
        </w:rPr>
        <w:t>按 X 个账号测算</w:t>
      </w:r>
      <w:r>
        <w:rPr>
          <w:rFonts w:ascii="Times New Roman" w:hAnsi="Times New Roman" w:eastAsia="宋体"/>
          <w:b w:val="0"/>
          <w:sz w:val="21"/>
        </w:rPr>
        <w:t>”，不承诺绝对数字——</w:t>
      </w:r>
      <w:r>
        <w:rPr>
          <w:rFonts w:ascii="Times New Roman" w:hAnsi="Times New Roman" w:eastAsia="宋体"/>
          <w:b/>
          <w:color w:val="1D2A38"/>
          <w:sz w:val="21"/>
        </w:rPr>
        <w:t>说满了反而被逐条追问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Q：产能大概多少？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图文／图文快闪产能最高（100+ 条/周）；混剪（真实素材＋AI 包装）中高，适合抖音视频号主力；数字人口播 40–60 条/周；真人讲书产能低，只给骨干（护城河）。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Q：能复制到别家吗？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横向可复制</w:t>
      </w:r>
      <w:r>
        <w:rPr>
          <w:rFonts w:ascii="Times New Roman" w:hAnsi="Times New Roman" w:eastAsia="宋体"/>
          <w:b w:val="0"/>
          <w:sz w:val="21"/>
        </w:rPr>
        <w:t xml:space="preserve">：同一套中枢对外可复制到全国 </w:t>
      </w:r>
      <w:r>
        <w:rPr>
          <w:rFonts w:ascii="Times New Roman" w:hAnsi="Times New Roman" w:eastAsia="宋体"/>
          <w:b/>
          <w:color w:val="1D2A38"/>
          <w:sz w:val="21"/>
        </w:rPr>
        <w:t>30+ 家省级出版发行集团</w:t>
      </w:r>
      <w:r>
        <w:rPr>
          <w:rFonts w:ascii="Times New Roman" w:hAnsi="Times New Roman" w:eastAsia="宋体"/>
          <w:b w:val="0"/>
          <w:sz w:val="21"/>
        </w:rPr>
        <w:t>——它们面临的痛点完全相同（账号多、内容少、合规压力大）。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行业背书</w:t>
      </w:r>
      <w:r>
        <w:rPr>
          <w:rFonts w:ascii="Times New Roman" w:hAnsi="Times New Roman" w:eastAsia="宋体"/>
          <w:b w:val="0"/>
          <w:sz w:val="21"/>
        </w:rPr>
        <w:t>：2026 年度出版业智能体大赛已单设“出版营销传播智能体”赛道；中南传媒智库明确提出“由分散推进转向集团统筹协调”。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Q：跟集团已有的 AI 工作是什么关系？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本项目定位应表述为“</w:t>
      </w:r>
      <w:r>
        <w:rPr>
          <w:rFonts w:ascii="Times New Roman" w:hAnsi="Times New Roman" w:eastAsia="宋体"/>
          <w:b/>
          <w:color w:val="1D2A38"/>
          <w:sz w:val="21"/>
        </w:rPr>
        <w:t>把集团已有 AI 能力延伸到传播端</w:t>
      </w:r>
      <w:r>
        <w:rPr>
          <w:rFonts w:ascii="Times New Roman" w:hAnsi="Times New Roman" w:eastAsia="宋体"/>
          <w:b w:val="0"/>
          <w:sz w:val="21"/>
        </w:rPr>
        <w:t>”，而非“集团首次引入 AI”。</w:t>
      </w:r>
    </w:p>
    <w:p>
      <w:r>
        <w:rPr>
          <w:rFonts w:ascii="Times New Roman" w:hAnsi="Times New Roman" w:eastAsia="黑体"/>
          <w:b/>
          <w:color w:val="2C3E50"/>
          <w:sz w:val="25"/>
        </w:rPr>
        <w:t>H · 风险与异议应对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Q：最大的风险是什么？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/>
          <w:color w:val="1D2A38"/>
          <w:sz w:val="21"/>
        </w:rPr>
        <w:t>最大变量不是技术——技术无不可行项；最大变量是组织意愿。</w:t>
      </w:r>
      <w:r>
        <w:rPr>
          <w:rFonts w:ascii="Times New Roman" w:hAnsi="Times New Roman" w:eastAsia="宋体"/>
          <w:b w:val="0"/>
          <w:sz w:val="21"/>
        </w:rPr>
        <w:t xml:space="preserve"> 对策是以“赋能＋留痕”换取信任，以“给东西”而非“要东西”换取参与。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Q：矩阵号违规会不会连坐？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有风险，且我们有针对性设计：</w:t>
      </w:r>
      <w:r>
        <w:rPr>
          <w:rFonts w:ascii="Times New Roman" w:hAnsi="Times New Roman" w:eastAsia="宋体"/>
          <w:b/>
          <w:color w:val="1D2A38"/>
          <w:sz w:val="21"/>
        </w:rPr>
        <w:t>差异化度门禁＋去重派号从源头杜绝雷同</w:t>
      </w:r>
      <w:r>
        <w:rPr>
          <w:rFonts w:ascii="Times New Roman" w:hAnsi="Times New Roman" w:eastAsia="宋体"/>
          <w:b w:val="0"/>
          <w:sz w:val="21"/>
        </w:rPr>
        <w:t>；账号登记明确责任人，出问题可快速定位处置。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Q：如果效果不及预期怎么办？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先跑通 1 本书、一批账号，再逐步放量；产能优先投向真实骨干与机构账号；按账号规模线性测算、管理预期，不做超额承诺。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Q：有没有被击穿的说法？（用词纪律·必看）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禁用“首创／填补空白／唯一／技术领先”，替换为“</w:t>
      </w:r>
      <w:r>
        <w:rPr>
          <w:rFonts w:ascii="Times New Roman" w:hAnsi="Times New Roman" w:eastAsia="宋体"/>
          <w:b/>
          <w:color w:val="1D2A38"/>
          <w:sz w:val="21"/>
        </w:rPr>
        <w:t>在出版发行行业内，尚未见……</w:t>
      </w:r>
      <w:r>
        <w:rPr>
          <w:rFonts w:ascii="Times New Roman" w:hAnsi="Times New Roman" w:eastAsia="宋体"/>
          <w:b w:val="0"/>
          <w:sz w:val="21"/>
        </w:rPr>
        <w:t>”；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禁用“均未解决”，替换为“</w:t>
      </w:r>
      <w:r>
        <w:rPr>
          <w:rFonts w:ascii="Times New Roman" w:hAnsi="Times New Roman" w:eastAsia="宋体"/>
          <w:b/>
          <w:color w:val="1D2A38"/>
          <w:sz w:val="21"/>
        </w:rPr>
        <w:t>均未见公开案例解决</w:t>
      </w:r>
      <w:r>
        <w:rPr>
          <w:rFonts w:ascii="Times New Roman" w:hAnsi="Times New Roman" w:eastAsia="宋体"/>
          <w:b w:val="0"/>
          <w:sz w:val="21"/>
        </w:rPr>
        <w:t>”（我们做的是公开信息核查，不是穷尽调查）；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禁用“空白”泛化，只能限定在“</w:t>
      </w:r>
      <w:r>
        <w:rPr>
          <w:rFonts w:ascii="Times New Roman" w:hAnsi="Times New Roman" w:eastAsia="宋体"/>
          <w:b/>
          <w:color w:val="1D2A38"/>
          <w:sz w:val="21"/>
        </w:rPr>
        <w:t>批量属地化内容生产</w:t>
      </w:r>
      <w:r>
        <w:rPr>
          <w:rFonts w:ascii="Times New Roman" w:hAnsi="Times New Roman" w:eastAsia="宋体"/>
          <w:b w:val="0"/>
          <w:sz w:val="21"/>
        </w:rPr>
        <w:t>”这一环，不放大成“传播领域是空白”。</w:t>
      </w:r>
    </w:p>
    <w:p>
      <w:r>
        <w:rPr>
          <w:rFonts w:ascii="Times New Roman" w:hAnsi="Times New Roman" w:eastAsia="黑体"/>
          <w:b/>
          <w:color w:val="8C2B21"/>
          <w:sz w:val="22"/>
        </w:rPr>
        <w:t>Q：这些对标案例和数据是从哪来的？</w:t>
      </w:r>
    </w:p>
    <w:p>
      <w:pPr>
        <w:spacing w:line="336" w:lineRule="auto"/>
        <w:ind w:left="280"/>
      </w:pPr>
      <w:r>
        <w:rPr>
          <w:rFonts w:ascii="Times New Roman" w:hAnsi="Times New Roman" w:eastAsia="宋体"/>
          <w:b w:val="0"/>
          <w:sz w:val="21"/>
        </w:rPr>
        <w:t>行业公开报道与集团公开资料，详见文末「参考来源」。表述一律采用“行业正在讨论的连接逻辑”“本项目的出发点”，</w:t>
      </w:r>
      <w:r>
        <w:rPr>
          <w:rFonts w:ascii="Times New Roman" w:hAnsi="Times New Roman" w:eastAsia="宋体"/>
          <w:b/>
          <w:color w:val="1D2A38"/>
          <w:sz w:val="21"/>
        </w:rPr>
        <w:t>不借用任何机构或个人的名义背书</w:t>
      </w:r>
      <w:r>
        <w:rPr>
          <w:rFonts w:ascii="Times New Roman" w:hAnsi="Times New Roman" w:eastAsia="宋体"/>
          <w:b w:val="0"/>
          <w:sz w:val="21"/>
        </w:rPr>
        <w:t>。</w:t>
      </w:r>
    </w:p>
    <w:p>
      <w:r>
        <w:rPr>
          <w:rFonts w:ascii="Times New Roman" w:hAnsi="Times New Roman" w:eastAsia="黑体"/>
          <w:b/>
          <w:color w:val="6B6357"/>
          <w:sz w:val="22"/>
        </w:rPr>
        <w:t>参考来源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[1] 靳艺昕．《出版业人工智能应用安全要求》行业标准阶段性成果发布［N］．中国出版传媒商报，2026-08-28．https://www.cbbr.com.cn/contents/500/111647.html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[2] 广东省出版集团有限公司．关于开展省出版集团 2026 年 AI 技术创新应用大赛的通知．2026-09-16（参赛通知原件）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[3] 《中华人民共和国广告法》（禁用语预检依据）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[4] 《人工智能生成合成内容标识办法》（2025-09-01 施行，AIGC 标识依据）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[5] 《生成式人工智能服务管理暂行办法》《人工智能安全治理框架》（国家层面安全要求）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[6] 本项目《集团传播力中枢建设可行性报告》v3.2 及《项目全案说明书》（内部资料，行业数据与对标案例来源）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