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2"/>
        </w:rPr>
        <w:t>「文枢——集团 AI 传播力中枢平台」技术实现说明</w:t>
      </w:r>
    </w:p>
    <w:p>
      <w:pPr>
        <w:jc w:val="center"/>
      </w:pPr>
      <w:r>
        <w:rPr>
          <w:rFonts w:ascii="Times New Roman" w:hAnsi="Times New Roman" w:eastAsia="楷体"/>
          <w:b w:val="0"/>
          <w:color w:val="6B6357"/>
          <w:sz w:val="18"/>
        </w:rPr>
        <w:t>配套材料：原型演示 wenshu.html（离线可运行）　｜　广东省出版集团 2026 年 AI 技术创新应用大赛 · B 赛道</w:t>
      </w:r>
    </w:p>
    <w:p>
      <w:r>
        <w:rPr>
          <w:rFonts w:ascii="Times New Roman" w:hAnsi="Times New Roman" w:eastAsia="黑体"/>
          <w:b/>
          <w:color w:val="8C2B21"/>
          <w:sz w:val="26"/>
        </w:rPr>
        <w:t>一、总体架构：三明治分层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事实层：结构化书目数据（书名、作者、定价、分类、在售状态），对表达层模型只读，任何环节不可写入、不可生成新事实。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表达层：大语言模型仅负责文字组织与风格变体，输入为母版事实与表达要求，输出必须回到校验层复核，无事实生成权。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校验层：确定性代码执行四道硬门禁，不依赖模型自我判断，每一步可审计、可复现、可归因。</w:t>
      </w:r>
    </w:p>
    <w:p>
      <w:r>
        <w:rPr>
          <w:rFonts w:ascii="Times New Roman" w:hAnsi="Times New Roman" w:eastAsia="黑体"/>
          <w:b/>
          <w:color w:val="8C2B21"/>
          <w:sz w:val="26"/>
        </w:rPr>
        <w:t>二、原型实现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原型为单文件网页应用（wenshu.html），采用 ES5 语法与原生技术栈，零外部依赖、离线可运行，双击即可在 Chrome／Edge 等浏览器打开；数据仅存于本机浏览器（localStorage，不可用时自动降级为内存存储），不采集、不上传任何数据。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原型阶段表达层以确定性模板引擎模拟，保证演示环境合规、结果可复现；书目为演示数据，正式版接入集团真实书目库。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原型已实现五个功能模块：事实库、内容生成（五维派号）、合规拦截（四道门禁）、分发与归因（内容货架、账号登记台、归因看板）、审计留痕。其中分发模块支持机构账号排期领取与个人账号自愿取用两条通道，并可按层级汇总归因；账号登记台采集账号平台、名称与责任人，用途限于掌握底数与突发处置，不代发、不代运营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演示省略身份认证与权限体系（属技术开发阶段实现）；实际部署时可对接集团统一身份认证，各层级、各网点按权限登录。</w:t>
      </w:r>
    </w:p>
    <w:p>
      <w:r>
        <w:rPr>
          <w:rFonts w:ascii="Times New Roman" w:hAnsi="Times New Roman" w:eastAsia="黑体"/>
          <w:b/>
          <w:color w:val="8C2B21"/>
          <w:sz w:val="26"/>
        </w:rPr>
        <w:t>三、四道门禁的工程实现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①禁用语预检：维护《广告法》红线词库（如「最好」「第一」「必读」「绝对」「全网最低」等），对文稿全文做字符串匹配并定位标红，命中即拦截。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②事实一致性：抽取文稿中的书名（书名号匹配）与价格（数值＋「元」），与所选书目逐项精确比对，不一致即拦截并给出证据。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③差异化度：对同书目下已放行内容计算字符二元组 Jaccard 相似度，超过阈值（0.6）判定同质化，拦截不放行。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④AIGC 标识校验：检查显式标识（「本文由 AI 辅助生成」）存在性，缺失即拦截；正式版按《人工智能生成合成内容标识办法》同时写入隐式元数据标识，导出自动注入、不提供关闭开关。</w:t>
      </w:r>
    </w:p>
    <w:p>
      <w:r>
        <w:rPr>
          <w:rFonts w:ascii="Times New Roman" w:hAnsi="Times New Roman" w:eastAsia="黑体"/>
          <w:b/>
          <w:color w:val="8C2B21"/>
          <w:sz w:val="26"/>
        </w:rPr>
        <w:t>四、上线演进路径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第一步：表达层由模板引擎替换为境内合规大模型服务（如 DeepSeek、混元、讯飞星火等），调用时仅注入书目事实与表达要求，输出强制回校验层复核。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第二步：事实层升级为集团书目数据库（对接在售书目与 CNONIX 数据），并建立母版管理与五维派号调度服务。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第三步：校验层后移至服务端，防止前端绕过；接入账号体系、排期分发与归因 SDK，形成「生产—治理—度量」三环闭环。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第四步：对接集团统一身份认证（SSO），建立三级角色权限；账号登记台升级为集团账号底数台账，支持账号状态监控与突发响应联动。</w:t>
      </w:r>
    </w:p>
    <w:p>
      <w:r>
        <w:rPr>
          <w:rFonts w:ascii="Times New Roman" w:hAnsi="Times New Roman" w:eastAsia="黑体"/>
          <w:b/>
          <w:color w:val="8C2B21"/>
          <w:sz w:val="26"/>
        </w:rPr>
        <w:t>五、合规与安全设计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AIGC 标识符合《人工智能生成合成内容标识办法》（2025 年 9 月 1 日施行），并按《出版业人工智能应用安全要求》行业标准方向对标落实[1]；禁用语库随《广告法》及平台规则持续维护；书目库对模型只读，杜绝涉密内容进入公共模型；一期不涉及境外平台与数据出境，支持私有化部署；审计日志全量留痕、可追溯。</w:t>
      </w:r>
    </w:p>
    <w:p>
      <w:r>
        <w:rPr>
          <w:rFonts w:ascii="Times New Roman" w:hAnsi="Times New Roman" w:eastAsia="黑体"/>
          <w:b/>
          <w:color w:val="6B6357"/>
          <w:sz w:val="21"/>
        </w:rPr>
        <w:t>参考来源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color w:val="6B6357"/>
          <w:sz w:val="18"/>
        </w:rPr>
        <w:t>[1] 靳艺昕．《出版业人工智能应用安全要求》行业标准阶段性成果发布［N］．中国出版传媒商报，2026-08-28．https://www.cbbr.com.cn/contents/500/111647.html</w:t>
      </w:r>
    </w:p>
    <w:sectPr w:rsidR="00FC693F" w:rsidRPr="0006063C" w:rsidSect="00034616">
      <w:pgSz w:w="12240" w:h="15840"/>
      <w:pgMar w:top="1440" w:right="1587" w:bottom="144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